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spacing w:afterLines="100" w:line="480" w:lineRule="auto"/>
        <w:jc w:val="center"/>
        <w:outlineLvl w:val="0"/>
        <w:rPr>
          <w:rFonts w:hint="eastAsia" w:ascii="方正小标宋_GBK" w:hAnsi="黑体" w:eastAsia="方正小标宋_GBK"/>
          <w:sz w:val="36"/>
        </w:rPr>
      </w:pPr>
      <w:r>
        <w:rPr>
          <w:rFonts w:hint="eastAsia" w:ascii="方正小标宋_GBK" w:hAnsi="黑体" w:eastAsia="方正小标宋_GBK"/>
          <w:sz w:val="36"/>
          <w:lang w:val="en-US" w:eastAsia="zh-CN"/>
        </w:rPr>
        <w:t>2021</w:t>
      </w:r>
      <w:r>
        <w:rPr>
          <w:rFonts w:hint="eastAsia" w:ascii="方正小标宋_GBK" w:hAnsi="黑体" w:eastAsia="方正小标宋_GBK"/>
          <w:sz w:val="36"/>
        </w:rPr>
        <w:t>年度节能诊断服务意向企业名单</w:t>
      </w:r>
    </w:p>
    <w:tbl>
      <w:tblPr>
        <w:tblStyle w:val="2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08"/>
        <w:gridCol w:w="825"/>
        <w:gridCol w:w="735"/>
        <w:gridCol w:w="2415"/>
        <w:gridCol w:w="1335"/>
        <w:gridCol w:w="1200"/>
        <w:gridCol w:w="1545"/>
        <w:gridCol w:w="1030"/>
        <w:gridCol w:w="1505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区县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企业联系人及电话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jc w:val="both"/>
              <w:outlineLvl w:val="0"/>
              <w:rPr>
                <w:rFonts w:hint="eastAsia" w:ascii="黑体" w:hAnsi="黑体" w:eastAsia="黑体"/>
                <w:sz w:val="24"/>
                <w:highlight w:val="yellow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上年度综合能源消费量（吨标准煤</w:t>
            </w:r>
            <w:r>
              <w:rPr>
                <w:rFonts w:ascii="黑体" w:hAnsi="黑体" w:eastAsia="黑体"/>
                <w:sz w:val="24"/>
              </w:rPr>
              <w:t>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黑体" w:hAnsi="黑体" w:eastAsia="黑体"/>
                <w:sz w:val="24"/>
                <w:highlight w:val="yellow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节能诊断类型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</w:rPr>
              <w:t>提供服务的机构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是否中小企业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注：1.每家接受节能诊断服务的企业只对应一家机构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，由同一家机构提供服务的企业应列在一起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节能诊断类型包括重点行业、中小企业、重点用能设备、区域集中式节能诊断和节能诊断跟踪服务；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3.区域集中式节能诊断请在备注注明企业所在的工业园区</w:t>
      </w:r>
      <w:r>
        <w:rPr>
          <w:rFonts w:hint="default" w:ascii="仿宋_GB2312" w:hAnsi="仿宋_GB2312" w:eastAsia="仿宋_GB2312"/>
          <w:sz w:val="28"/>
          <w:szCs w:val="28"/>
        </w:rPr>
        <w:t>产业聚集区，同一区域企业应列在一起；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/>
          <w:sz w:val="28"/>
          <w:szCs w:val="28"/>
        </w:rPr>
        <w:sectPr>
          <w:pgSz w:w="16838" w:h="11906" w:orient="landscape"/>
          <w:pgMar w:top="1531" w:right="1417" w:bottom="1417" w:left="1474" w:header="720" w:footer="720" w:gutter="0"/>
          <w:cols w:space="720" w:num="1"/>
          <w:docGrid w:type="lines" w:linePitch="312" w:charSpace="0"/>
        </w:sectPr>
      </w:pPr>
      <w:r>
        <w:rPr>
          <w:rFonts w:hint="default" w:ascii="仿宋_GB2312" w:hAnsi="仿宋_GB2312" w:eastAsia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/>
          <w:sz w:val="28"/>
          <w:szCs w:val="28"/>
        </w:rPr>
        <w:t>4.依据《关于印发中小企业划型标准规定的通知》（工信部联企业〔2011〕300号），从业人员1000人以下或营业收入40000万元以下的为中小微型企业。其中，从业人员300人及以上，且营业收入2000万元及以上的为中型企业；从业人员20人及以上，且营业收入300万元及以上的为小型企业。如属于中小企业，请注明企业具体所属类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63CB"/>
    <w:rsid w:val="2D1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杜鹃儿</dc:creator>
  <cp:lastModifiedBy>杜鹃儿</cp:lastModifiedBy>
  <dcterms:modified xsi:type="dcterms:W3CDTF">2021-06-08T06:50:55Z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EDAE80627E684843A50964F0A2B31692</vt:lpwstr>
  </property>
</Properties>
</file>